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D13737">
      <w:pPr>
        <w:rPr>
          <w:rFonts w:hint="eastAsia" w:asciiTheme="minorEastAsia" w:hAnsiTheme="minorEastAsia" w:eastAsiaTheme="minorEastAsia" w:cstheme="minorEastAsia"/>
          <w:sz w:val="36"/>
          <w:szCs w:val="36"/>
          <w:lang w:val="en-US" w:eastAsia="zh-CN"/>
        </w:rPr>
      </w:pPr>
      <w:r>
        <w:rPr>
          <w:rFonts w:hint="eastAsia" w:asciiTheme="minorEastAsia" w:hAnsiTheme="minorEastAsia" w:eastAsiaTheme="minorEastAsia" w:cstheme="minorEastAsia"/>
          <w:sz w:val="36"/>
          <w:szCs w:val="36"/>
          <w:lang w:val="en-US" w:eastAsia="zh-CN"/>
        </w:rPr>
        <w:t>附表1：</w:t>
      </w:r>
    </w:p>
    <w:p w14:paraId="0CA5CD87">
      <w:pPr>
        <w:rPr>
          <w:rFonts w:hint="eastAsia" w:asciiTheme="minorEastAsia" w:hAnsiTheme="minorEastAsia" w:eastAsiaTheme="minorEastAsia" w:cstheme="minorEastAsia"/>
        </w:rPr>
      </w:pPr>
    </w:p>
    <w:p w14:paraId="3EE843BB">
      <w:pPr>
        <w:keepNext w:val="0"/>
        <w:keepLines w:val="0"/>
        <w:pageBreakBefore w:val="0"/>
        <w:widowControl/>
        <w:kinsoku w:val="0"/>
        <w:wordWrap/>
        <w:overflowPunct/>
        <w:topLinePunct w:val="0"/>
        <w:autoSpaceDE w:val="0"/>
        <w:autoSpaceDN w:val="0"/>
        <w:bidi w:val="0"/>
        <w:adjustRightInd w:val="0"/>
        <w:snapToGrid w:val="0"/>
        <w:spacing w:before="81" w:line="360" w:lineRule="auto"/>
        <w:ind w:left="315" w:leftChars="150" w:right="315" w:rightChars="150"/>
        <w:jc w:val="center"/>
        <w:textAlignment w:val="baseline"/>
        <w:outlineLvl w:val="0"/>
        <w:rPr>
          <w:rFonts w:hint="eastAsia" w:asciiTheme="minorEastAsia" w:hAnsiTheme="minorEastAsia" w:eastAsiaTheme="minorEastAsia" w:cstheme="minorEastAsia"/>
          <w:b/>
          <w:bCs/>
          <w:spacing w:val="6"/>
          <w:sz w:val="32"/>
          <w:szCs w:val="32"/>
          <w:lang w:val="en-US" w:eastAsia="zh-CN"/>
        </w:rPr>
      </w:pPr>
    </w:p>
    <w:p w14:paraId="7572B024">
      <w:pPr>
        <w:keepNext w:val="0"/>
        <w:keepLines w:val="0"/>
        <w:pageBreakBefore w:val="0"/>
        <w:widowControl/>
        <w:kinsoku w:val="0"/>
        <w:wordWrap/>
        <w:overflowPunct/>
        <w:topLinePunct w:val="0"/>
        <w:autoSpaceDE w:val="0"/>
        <w:autoSpaceDN w:val="0"/>
        <w:bidi w:val="0"/>
        <w:adjustRightInd w:val="0"/>
        <w:snapToGrid w:val="0"/>
        <w:spacing w:before="81" w:line="360" w:lineRule="auto"/>
        <w:ind w:left="315" w:leftChars="150" w:right="315" w:rightChars="150"/>
        <w:jc w:val="center"/>
        <w:textAlignment w:val="baseline"/>
        <w:outlineLvl w:val="0"/>
        <w:rPr>
          <w:rFonts w:hint="default"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pacing w:val="6"/>
          <w:sz w:val="32"/>
          <w:szCs w:val="32"/>
          <w:lang w:val="en-US" w:eastAsia="zh-CN"/>
        </w:rPr>
        <w:t xml:space="preserve">第一部分 </w:t>
      </w:r>
      <w:r>
        <w:rPr>
          <w:rFonts w:hint="eastAsia" w:asciiTheme="minorEastAsia" w:hAnsiTheme="minorEastAsia" w:eastAsiaTheme="minorEastAsia" w:cstheme="minorEastAsia"/>
          <w:b/>
          <w:bCs/>
          <w:spacing w:val="6"/>
          <w:sz w:val="32"/>
          <w:szCs w:val="32"/>
        </w:rPr>
        <w:t>茂名市茂南区金塘镇中心卫生院中医馆改造工程</w:t>
      </w:r>
      <w:r>
        <w:rPr>
          <w:rFonts w:hint="eastAsia" w:asciiTheme="minorEastAsia" w:hAnsiTheme="minorEastAsia" w:eastAsiaTheme="minorEastAsia" w:cstheme="minorEastAsia"/>
          <w:b/>
          <w:bCs/>
          <w:spacing w:val="6"/>
          <w:sz w:val="32"/>
          <w:szCs w:val="32"/>
          <w:lang w:val="en-US" w:eastAsia="zh-CN"/>
        </w:rPr>
        <w:t>概况</w:t>
      </w:r>
    </w:p>
    <w:p w14:paraId="71536E3F">
      <w:pPr>
        <w:rPr>
          <w:rFonts w:hint="eastAsia" w:asciiTheme="minorEastAsia" w:hAnsiTheme="minorEastAsia" w:eastAsiaTheme="minorEastAsia" w:cstheme="minorEastAsia"/>
        </w:rPr>
      </w:pPr>
    </w:p>
    <w:p w14:paraId="4EB837AE">
      <w:pPr>
        <w:rPr>
          <w:rFonts w:hint="eastAsia" w:asciiTheme="minorEastAsia" w:hAnsiTheme="minorEastAsia" w:eastAsiaTheme="minorEastAsia" w:cstheme="minorEastAsia"/>
        </w:rPr>
      </w:pPr>
    </w:p>
    <w:p w14:paraId="0E69B553">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本工程位于茂名市茂南区金塘镇,内容包括：金塘镇中心卫生院 2号楼三楼按中医馆建设标准进行全面改造，利用2号楼改造成中医楼、建成集中医诊疗、康复理疗、养生保健于一体的中医馆，设置针灸推拿、中药熏蒸、治未病等特色科室。改造内容包括对病房、治疗室等布局改造、水电线路重新铺设改造等。</w:t>
      </w:r>
    </w:p>
    <w:p w14:paraId="0AC22EFC">
      <w:pPr>
        <w:pStyle w:val="2"/>
        <w:rPr>
          <w:rFonts w:hint="eastAsia"/>
        </w:rPr>
      </w:pPr>
    </w:p>
    <w:p w14:paraId="382DA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heme="minorEastAsia" w:hAnsiTheme="minorEastAsia" w:eastAsiaTheme="minorEastAsia" w:cstheme="minorEastAsia"/>
          <w:b/>
          <w:bCs/>
          <w:spacing w:val="6"/>
          <w:sz w:val="32"/>
          <w:szCs w:val="32"/>
          <w:lang w:val="en-US" w:eastAsia="zh-CN"/>
        </w:rPr>
      </w:pPr>
    </w:p>
    <w:p w14:paraId="0B9D62C7">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Theme="minorEastAsia" w:hAnsiTheme="minorEastAsia" w:eastAsiaTheme="minorEastAsia" w:cstheme="minorEastAsia"/>
          <w:b/>
          <w:bCs/>
          <w:spacing w:val="6"/>
          <w:sz w:val="32"/>
          <w:szCs w:val="32"/>
          <w:lang w:val="en-US" w:eastAsia="zh-CN"/>
        </w:rPr>
      </w:pPr>
      <w:r>
        <w:rPr>
          <w:rFonts w:hint="eastAsia" w:asciiTheme="minorEastAsia" w:hAnsiTheme="minorEastAsia" w:eastAsiaTheme="minorEastAsia" w:cstheme="minorEastAsia"/>
          <w:b/>
          <w:bCs/>
          <w:spacing w:val="6"/>
          <w:sz w:val="32"/>
          <w:szCs w:val="32"/>
          <w:lang w:val="en-US" w:eastAsia="zh-CN"/>
        </w:rPr>
        <w:t xml:space="preserve">第二部分 </w:t>
      </w:r>
      <w:r>
        <w:rPr>
          <w:rFonts w:hint="eastAsia" w:asciiTheme="minorEastAsia" w:hAnsiTheme="minorEastAsia" w:eastAsiaTheme="minorEastAsia" w:cstheme="minorEastAsia"/>
          <w:b/>
          <w:bCs/>
          <w:spacing w:val="6"/>
          <w:sz w:val="32"/>
          <w:szCs w:val="32"/>
        </w:rPr>
        <w:t>茂名市茂南区金塘镇中心卫生院中医馆改造工程</w:t>
      </w:r>
      <w:r>
        <w:rPr>
          <w:rFonts w:hint="eastAsia" w:asciiTheme="minorEastAsia" w:hAnsiTheme="minorEastAsia" w:eastAsiaTheme="minorEastAsia" w:cstheme="minorEastAsia"/>
          <w:b/>
          <w:bCs/>
          <w:spacing w:val="6"/>
          <w:sz w:val="32"/>
          <w:szCs w:val="32"/>
          <w:lang w:val="en-US" w:eastAsia="zh-CN"/>
        </w:rPr>
        <w:t>商务要求</w:t>
      </w:r>
    </w:p>
    <w:p w14:paraId="7471AC7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asciiTheme="minorEastAsia" w:hAnsiTheme="minorEastAsia" w:eastAsiaTheme="minorEastAsia" w:cstheme="minorEastAsia"/>
          <w:b/>
          <w:bCs/>
          <w:spacing w:val="6"/>
          <w:sz w:val="32"/>
          <w:szCs w:val="32"/>
          <w:lang w:val="en-US" w:eastAsia="zh-CN"/>
        </w:rPr>
      </w:pPr>
    </w:p>
    <w:p w14:paraId="2CC0C9EF">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rPr>
      </w:pPr>
      <w:bookmarkStart w:id="0" w:name="_Hlk36470154"/>
      <w:r>
        <w:rPr>
          <w:rFonts w:hint="eastAsia" w:ascii="宋体" w:hAnsi="宋体" w:eastAsia="宋体" w:cs="宋体"/>
          <w:b/>
          <w:bCs/>
          <w:color w:val="auto"/>
          <w:sz w:val="28"/>
          <w:szCs w:val="28"/>
        </w:rPr>
        <w:t>（一）承包方式及说明</w:t>
      </w:r>
      <w:bookmarkEnd w:id="0"/>
    </w:p>
    <w:p w14:paraId="4C54530C">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bookmarkStart w:id="1" w:name="_Toc491604885"/>
      <w:bookmarkStart w:id="2" w:name="_Toc520896120"/>
      <w:r>
        <w:rPr>
          <w:rFonts w:hint="eastAsia" w:ascii="宋体" w:hAnsi="宋体" w:eastAsia="宋体" w:cs="宋体"/>
          <w:color w:val="auto"/>
          <w:sz w:val="28"/>
          <w:szCs w:val="28"/>
        </w:rPr>
        <w:t>1.承包方式：包工、包料、包成活、包质量、包工期、包安全、包文明施工，综合单价包干。报价应包括人工、材料、机具、管理费、利润、完成主体工程所需的所有措施费和其他项目费、增值税销项税额、运输费、装卸费、运输保险费、安装费、技术服务费（含联络费、保修费）、作业人员意外伤害保险及可预见和不可预见等完成本采购内容所需的一切费用。</w:t>
      </w:r>
    </w:p>
    <w:p w14:paraId="5B810494">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 响应供应商应充分考虑施工期间各类可调材料的市场价格变化和可能的国家政策性调整，确定风险系数，对工程施工图纸及工程量清单所包含的所有内容及本磋商文件涉及到的范围进行总承包报价。</w:t>
      </w:r>
    </w:p>
    <w:p w14:paraId="00AD34BB">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 暂估价、暂列金额和绿色施工安全防护措施费不参与竞争，所有投标单位必须按本最高限价所列暂估价、暂列金额、绿色施工安全防护措施费报价，暂估价结算时按实调整，暂列金额按实际发生结算。（若投标单位所投报价中暂估价、暂列金额、绿色施工安全防护措施费与磋商文件中所列相关费用不一致的，则作为废标处理）。</w:t>
      </w:r>
    </w:p>
    <w:bookmarkEnd w:id="1"/>
    <w:bookmarkEnd w:id="2"/>
    <w:p w14:paraId="47CBF72E">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（二）工期要求</w:t>
      </w:r>
    </w:p>
    <w:p w14:paraId="06DA7131">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b w:val="0"/>
          <w:bCs w:val="0"/>
          <w:color w:val="auto"/>
          <w:sz w:val="28"/>
          <w:szCs w:val="28"/>
        </w:rPr>
      </w:pPr>
      <w:bookmarkStart w:id="3" w:name="_Toc491604886"/>
      <w:bookmarkStart w:id="4" w:name="_Toc520896121"/>
      <w:r>
        <w:rPr>
          <w:rFonts w:hint="eastAsia" w:ascii="宋体" w:hAnsi="宋体" w:eastAsia="宋体" w:cs="宋体"/>
          <w:b w:val="0"/>
          <w:bCs w:val="0"/>
          <w:color w:val="auto"/>
          <w:sz w:val="28"/>
          <w:szCs w:val="28"/>
        </w:rPr>
        <w:t>合同签订后，</w:t>
      </w:r>
      <w:r>
        <w:rPr>
          <w:rFonts w:hint="eastAsia" w:ascii="宋体" w:hAnsi="宋体" w:eastAsia="宋体" w:cs="宋体"/>
          <w:b w:val="0"/>
          <w:bCs w:val="0"/>
          <w:color w:val="auto"/>
          <w:sz w:val="28"/>
          <w:szCs w:val="28"/>
          <w:lang w:val="en-US" w:eastAsia="zh-CN"/>
        </w:rPr>
        <w:t>6</w:t>
      </w:r>
      <w:r>
        <w:rPr>
          <w:rFonts w:hint="eastAsia" w:ascii="宋体" w:hAnsi="宋体" w:eastAsia="宋体" w:cs="宋体"/>
          <w:b w:val="0"/>
          <w:bCs w:val="0"/>
          <w:color w:val="auto"/>
          <w:sz w:val="28"/>
          <w:szCs w:val="28"/>
          <w:lang w:eastAsia="zh"/>
        </w:rPr>
        <w:t>0</w:t>
      </w:r>
      <w:r>
        <w:rPr>
          <w:rFonts w:hint="eastAsia" w:ascii="宋体" w:hAnsi="宋体" w:eastAsia="宋体" w:cs="宋体"/>
          <w:b w:val="0"/>
          <w:bCs w:val="0"/>
          <w:color w:val="auto"/>
          <w:sz w:val="28"/>
          <w:szCs w:val="28"/>
        </w:rPr>
        <w:t>个日历天内完工。</w:t>
      </w:r>
    </w:p>
    <w:p w14:paraId="6A7AA4D3">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rPr>
      </w:pPr>
      <w:r>
        <w:rPr>
          <w:rFonts w:hint="eastAsia" w:ascii="宋体" w:hAnsi="宋体" w:eastAsia="宋体" w:cs="宋体"/>
          <w:b/>
          <w:bCs/>
          <w:color w:val="auto"/>
          <w:sz w:val="28"/>
          <w:szCs w:val="28"/>
        </w:rPr>
        <w:t>（三）本工程采用</w:t>
      </w:r>
    </w:p>
    <w:p w14:paraId="744A02F5">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sym w:font="Wingdings" w:char="00A8"/>
      </w:r>
      <w:r>
        <w:rPr>
          <w:rFonts w:hint="eastAsia" w:ascii="宋体" w:hAnsi="宋体" w:eastAsia="宋体" w:cs="宋体"/>
          <w:color w:val="auto"/>
          <w:sz w:val="28"/>
          <w:szCs w:val="28"/>
        </w:rPr>
        <w:t>固定总价：投标报价文件包含投标总价及综合单价时，投标总价为合同总价。合同总价在招标文件及施工合同约定的风险范围之内不可调整。（详见合同专用条款）</w:t>
      </w:r>
    </w:p>
    <w:p w14:paraId="6DEF8BDE">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sym w:font="Wingdings" w:char="00FE"/>
      </w:r>
      <w:r>
        <w:rPr>
          <w:rFonts w:hint="eastAsia" w:ascii="宋体" w:hAnsi="宋体" w:eastAsia="宋体" w:cs="宋体"/>
          <w:color w:val="auto"/>
          <w:sz w:val="28"/>
          <w:szCs w:val="28"/>
        </w:rPr>
        <w:t>固定单价：投标报价文件包含投标总价及综合单价时，综合单价为合同单价。合同单价在招标文件及施工合同约定的风险范围之内不可调整。</w:t>
      </w:r>
    </w:p>
    <w:p w14:paraId="5D064323">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风险范围以外合同价款调整方法：按政府对工程结算办法的政策性调整，施工期间若人工、材料价格涨落时施工期间的信息价平均值增减超出投标截止日期上月信息价平均值增减，超出投标截止日期，上月信息价±5%时，价差按实计算调整。</w:t>
      </w:r>
    </w:p>
    <w:p w14:paraId="361D09D7">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rPr>
      </w:pPr>
      <w:r>
        <w:rPr>
          <w:rFonts w:hint="eastAsia" w:ascii="宋体" w:hAnsi="宋体" w:eastAsia="宋体" w:cs="宋体"/>
          <w:b/>
          <w:bCs/>
          <w:color w:val="auto"/>
          <w:sz w:val="28"/>
          <w:szCs w:val="28"/>
        </w:rPr>
        <w:t>（四）承包商必须具备解决项目事项的能力</w:t>
      </w:r>
    </w:p>
    <w:p w14:paraId="1F0075DC">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承包人自行解决余泥存放地方。</w:t>
      </w:r>
    </w:p>
    <w:p w14:paraId="17A8653F">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承包人自行解决三相电使用。</w:t>
      </w:r>
    </w:p>
    <w:p w14:paraId="4D3DD196">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rPr>
      </w:pPr>
      <w:r>
        <w:rPr>
          <w:rFonts w:hint="eastAsia" w:ascii="宋体" w:hAnsi="宋体" w:eastAsia="宋体" w:cs="宋体"/>
          <w:b/>
          <w:bCs/>
          <w:color w:val="auto"/>
          <w:sz w:val="28"/>
          <w:szCs w:val="28"/>
        </w:rPr>
        <w:t>（五）伴随服务</w:t>
      </w:r>
    </w:p>
    <w:p w14:paraId="454AFFF1">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必须按照报价文件中所做出的承诺，建立项目经理和现场管理机构主要部门负责人：项目经理及项目技术负责人。</w:t>
      </w:r>
    </w:p>
    <w:p w14:paraId="4EC925B9">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 xml:space="preserve"> 项目经理和项目技术负责人在开工前必须到位，并接受</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代表的查验。未到位的，按照约定承担违约责任。</w:t>
      </w:r>
    </w:p>
    <w:p w14:paraId="6F652230">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因特殊情况需要更换项目经理和项目技术负责人的，应至少提前 7 天以书面形式(附前任和后任人员的详细履历资料)向</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提出申请，并征得</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同意。</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必须保证后任人员的资质、资历、业绩、实际工作能力不低于前任人员的素质。前任人员更换后，后任继续行使合同文件约定的前任的职权，履行前任的义务。</w:t>
      </w:r>
    </w:p>
    <w:p w14:paraId="689A6AB9">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 xml:space="preserve"> 项目经理和项目技术负责人的实际工作能力和工作表现达不到要求、或工作态度存在严重不足，不适应现场工作需要，</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有权向</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提出撤换。</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可以提出整改意见；如</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不予接受，则</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必须在 7 天内无条件撤换，所调换来人员的资质、资历、学历、职称、业绩、实际工作能力不低于原投标书中所承诺人员的素质。</w:t>
      </w:r>
    </w:p>
    <w:p w14:paraId="5BA8BB27">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5. 项目经理和项目技术负责人必须全职在现场办公，不得兼职或者擅自离岗。因特殊情况需短暂离岗的，应当事先报</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批准，必须妥善安排工地现场的工作交接。</w:t>
      </w:r>
    </w:p>
    <w:p w14:paraId="55DCCC61">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必须在开工前一周内将施工组织计划、安全文明施工方案提供给</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审定，并填写开工报告，获批准后才能施工。如没有办齐上述手续而施工的，其责任自负。</w:t>
      </w:r>
    </w:p>
    <w:p w14:paraId="522DA414">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rPr>
      </w:pPr>
      <w:r>
        <w:rPr>
          <w:rFonts w:hint="eastAsia" w:ascii="宋体" w:hAnsi="宋体" w:eastAsia="宋体" w:cs="宋体"/>
          <w:b/>
          <w:bCs/>
          <w:color w:val="auto"/>
          <w:sz w:val="28"/>
          <w:szCs w:val="28"/>
        </w:rPr>
        <w:t>（六）其他事项</w:t>
      </w:r>
    </w:p>
    <w:p w14:paraId="3F613B3B">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 xml:space="preserve"> 施工服务队伍资质要得到当地政府管理部门认可，安装人员（特殊工种）要具有劳动部门发出的上岗证。上岗人员（特殊工种）要有相应的上岗证，施工前向用户递交派出人员名单，严禁使用未成年工和不适应现场安全施工要求的老弱病残人员进行施工。</w:t>
      </w:r>
    </w:p>
    <w:p w14:paraId="70737B6F">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 xml:space="preserve"> 在施工期间应严格遵守国家、省、市有关防火、爆破和施工安全以及文明施工、环卫和城管等规定，建立规章制度和防护措施。否则，由此造成的经济和法律责任均由承包人负责。</w:t>
      </w:r>
    </w:p>
    <w:p w14:paraId="0C632172">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 xml:space="preserve"> 承包人应按安全施工的要求，采取严格科学的安全措施，确保施工安全和第三者的安全，承担出于自身安全措施所造成的事故责任和发生的费用。</w:t>
      </w:r>
    </w:p>
    <w:p w14:paraId="6AFF7F8B">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 xml:space="preserve"> 施工队伍必须接受现场管理单位的监督、管理和指导。</w:t>
      </w:r>
    </w:p>
    <w:p w14:paraId="33B4F16B">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4.1 施工队伍应在用户确定施工条件已具备后 3 天内与业主确定开始施工日期。</w:t>
      </w:r>
    </w:p>
    <w:p w14:paraId="7DECD83B">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4.2 施工队伍进场所要的现场工作条件及施工中，需要业主配合承担的工程由报价人在投标时提出,签署合同时也作为合同的补充附件。</w:t>
      </w:r>
    </w:p>
    <w:p w14:paraId="4D4D1CD7">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4.3 施工所用机械工具由施工队伍自备及自费运到施工工地，进场后进行必要的性能安全检查，完工后从工地自费搬出运走，施工所用的材料及机械工具由用户提供恰当的场所存放并由施工队伍自行保管，不得随便存放，以免造成不必要的丢失、损坏。</w:t>
      </w:r>
    </w:p>
    <w:p w14:paraId="148ADA2D">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4.4 在安装过程发现的供货及其质量问题，供货商亦要负责补救处理。</w:t>
      </w:r>
    </w:p>
    <w:p w14:paraId="7BD84E13">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4.5 所有验收文件、测试报告、资料复印件要提交用户完整的三套，以作留档备案。</w:t>
      </w:r>
    </w:p>
    <w:p w14:paraId="3C0E1A84">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4.6 竣工验收时，施工单位应向建设单位提供有关的技术档案资料一式三份，电子版档案一份。施工单位在本项目的各工程竣工后(以现场监理和发包人签证时间计起)，必须在 10天内全面退场，10天内向建设单位提供所有竣工文件和质量保证资料。</w:t>
      </w:r>
    </w:p>
    <w:bookmarkEnd w:id="3"/>
    <w:bookmarkEnd w:id="4"/>
    <w:p w14:paraId="1DEB7376">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rPr>
      </w:pPr>
      <w:r>
        <w:rPr>
          <w:rFonts w:hint="eastAsia" w:ascii="宋体" w:hAnsi="宋体" w:eastAsia="宋体" w:cs="宋体"/>
          <w:b/>
          <w:bCs/>
          <w:color w:val="auto"/>
          <w:sz w:val="28"/>
          <w:szCs w:val="28"/>
        </w:rPr>
        <w:t>（七）质量要求</w:t>
      </w:r>
    </w:p>
    <w:p w14:paraId="7A265A45">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本工程所有的设备和材料所涉及的设计标准、规范，产品标准、规范，工程标准、规范，验收标准、规范等必须完全符合中华人民共和国相应的标准和规范。</w:t>
      </w:r>
    </w:p>
    <w:p w14:paraId="08AA2E77">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rPr>
      </w:pPr>
      <w:r>
        <w:rPr>
          <w:rFonts w:hint="eastAsia" w:ascii="宋体" w:hAnsi="宋体" w:eastAsia="宋体" w:cs="宋体"/>
          <w:b/>
          <w:bCs/>
          <w:color w:val="auto"/>
          <w:sz w:val="28"/>
          <w:szCs w:val="28"/>
        </w:rPr>
        <w:t>（八）工程质量保修期</w:t>
      </w:r>
    </w:p>
    <w:p w14:paraId="57D778FA">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自全部工程竣工验收合格之日起算，工程的质量保修期为</w:t>
      </w:r>
      <w:r>
        <w:rPr>
          <w:rFonts w:hint="eastAsia" w:ascii="宋体" w:hAnsi="宋体" w:eastAsia="宋体" w:cs="宋体"/>
          <w:b/>
          <w:bCs/>
          <w:color w:val="auto"/>
          <w:sz w:val="28"/>
          <w:szCs w:val="28"/>
        </w:rPr>
        <w:t>壹</w:t>
      </w:r>
      <w:r>
        <w:rPr>
          <w:rFonts w:hint="eastAsia" w:ascii="宋体" w:hAnsi="宋体" w:eastAsia="宋体" w:cs="宋体"/>
          <w:color w:val="auto"/>
          <w:sz w:val="28"/>
          <w:szCs w:val="28"/>
        </w:rPr>
        <w:t>年，在工程质量保修期内，工程出现质量问题的，</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收到</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保修通知后，三天内进行保修服务，且在 7 天内完成保修工作。</w:t>
      </w:r>
    </w:p>
    <w:p w14:paraId="49C0FC73">
      <w:pPr>
        <w:keepNext w:val="0"/>
        <w:keepLines w:val="0"/>
        <w:pageBreakBefore w:val="0"/>
        <w:widowControl w:val="0"/>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（九）付款方式</w:t>
      </w:r>
    </w:p>
    <w:p w14:paraId="492C1CB0">
      <w:pPr>
        <w:keepNext w:val="0"/>
        <w:keepLines w:val="0"/>
        <w:pageBreakBefore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1.支付比例 30%;合同签订后，</w:t>
      </w:r>
      <w:r>
        <w:rPr>
          <w:rFonts w:hint="eastAsia" w:ascii="宋体" w:hAnsi="宋体" w:eastAsia="宋体" w:cs="宋体"/>
          <w:color w:val="auto"/>
          <w:sz w:val="28"/>
          <w:szCs w:val="28"/>
          <w:lang w:eastAsia="zh-CN"/>
        </w:rPr>
        <w:t>成交方</w:t>
      </w:r>
      <w:r>
        <w:rPr>
          <w:rFonts w:hint="eastAsia" w:ascii="宋体" w:hAnsi="宋体" w:eastAsia="宋体" w:cs="宋体"/>
          <w:color w:val="auto"/>
          <w:sz w:val="28"/>
          <w:szCs w:val="28"/>
        </w:rPr>
        <w:t>提供等额增值税普通发票，</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在5个工作日内支付合同款的 30%。</w:t>
      </w:r>
    </w:p>
    <w:p w14:paraId="24BC6712">
      <w:pPr>
        <w:keepNext w:val="0"/>
        <w:keepLines w:val="0"/>
        <w:pageBreakBefore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2.支付比例40%:工程完成后,</w:t>
      </w:r>
      <w:r>
        <w:rPr>
          <w:rFonts w:hint="eastAsia" w:ascii="宋体" w:hAnsi="宋体" w:eastAsia="宋体" w:cs="宋体"/>
          <w:color w:val="auto"/>
          <w:sz w:val="28"/>
          <w:szCs w:val="28"/>
          <w:lang w:eastAsia="zh-CN"/>
        </w:rPr>
        <w:t>成交方</w:t>
      </w:r>
      <w:r>
        <w:rPr>
          <w:rFonts w:hint="eastAsia" w:ascii="宋体" w:hAnsi="宋体" w:eastAsia="宋体" w:cs="宋体"/>
          <w:color w:val="auto"/>
          <w:sz w:val="28"/>
          <w:szCs w:val="28"/>
        </w:rPr>
        <w:t>提供等额增值税普通发票</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在10个工作日内支付至合同款的 70%。</w:t>
      </w:r>
    </w:p>
    <w:p w14:paraId="19F98A8E">
      <w:pPr>
        <w:keepNext w:val="0"/>
        <w:keepLines w:val="0"/>
        <w:pageBreakBefore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3.支付比例 27%;工程竣工,验收合格在茂南区投资审核中心审核最终结算价后</w:t>
      </w:r>
      <w:r>
        <w:rPr>
          <w:rFonts w:hint="eastAsia" w:ascii="宋体" w:hAnsi="宋体" w:eastAsia="宋体" w:cs="宋体"/>
          <w:color w:val="auto"/>
          <w:sz w:val="28"/>
          <w:szCs w:val="28"/>
          <w:lang w:eastAsia="zh-CN"/>
        </w:rPr>
        <w:t>成交方</w:t>
      </w:r>
      <w:r>
        <w:rPr>
          <w:rFonts w:hint="eastAsia" w:ascii="宋体" w:hAnsi="宋体" w:eastAsia="宋体" w:cs="宋体"/>
          <w:color w:val="auto"/>
          <w:sz w:val="28"/>
          <w:szCs w:val="28"/>
        </w:rPr>
        <w:t>提供等额增值税普通发票，</w:t>
      </w:r>
      <w:r>
        <w:rPr>
          <w:rFonts w:hint="eastAsia" w:ascii="宋体" w:hAnsi="宋体" w:eastAsia="宋体" w:cs="宋体"/>
          <w:color w:val="auto"/>
          <w:sz w:val="28"/>
          <w:szCs w:val="28"/>
          <w:lang w:eastAsia="zh-CN"/>
        </w:rPr>
        <w:t>采购人</w:t>
      </w:r>
      <w:r>
        <w:rPr>
          <w:rFonts w:hint="eastAsia" w:ascii="宋体" w:hAnsi="宋体" w:eastAsia="宋体" w:cs="宋体"/>
          <w:color w:val="auto"/>
          <w:sz w:val="28"/>
          <w:szCs w:val="28"/>
        </w:rPr>
        <w:t>在10个工作日内付至结算价的97%，</w:t>
      </w:r>
    </w:p>
    <w:p w14:paraId="1A6EA15D">
      <w:pPr>
        <w:keepNext w:val="0"/>
        <w:keepLines w:val="0"/>
        <w:pageBreakBefore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4.支付比例 3%;质保期满后，</w:t>
      </w:r>
      <w:r>
        <w:rPr>
          <w:rFonts w:hint="eastAsia" w:ascii="宋体" w:hAnsi="宋体" w:eastAsia="宋体" w:cs="宋体"/>
          <w:color w:val="auto"/>
          <w:sz w:val="28"/>
          <w:szCs w:val="28"/>
          <w:lang w:eastAsia="zh-CN"/>
        </w:rPr>
        <w:t>成交方</w:t>
      </w:r>
      <w:r>
        <w:rPr>
          <w:rFonts w:hint="eastAsia" w:ascii="宋体" w:hAnsi="宋体" w:eastAsia="宋体" w:cs="宋体"/>
          <w:color w:val="auto"/>
          <w:sz w:val="28"/>
          <w:szCs w:val="28"/>
        </w:rPr>
        <w:t>提供等额增值税普通发票，</w:t>
      </w:r>
      <w:r>
        <w:rPr>
          <w:rFonts w:hint="eastAsia" w:ascii="宋体" w:hAnsi="宋体" w:eastAsia="宋体" w:cs="宋体"/>
          <w:color w:val="auto"/>
          <w:sz w:val="28"/>
          <w:szCs w:val="28"/>
          <w:lang w:eastAsia="zh-CN"/>
        </w:rPr>
        <w:t>采购人</w:t>
      </w:r>
      <w:bookmarkStart w:id="5" w:name="_GoBack"/>
      <w:bookmarkEnd w:id="5"/>
      <w:r>
        <w:rPr>
          <w:rFonts w:hint="eastAsia" w:ascii="宋体" w:hAnsi="宋体" w:eastAsia="宋体" w:cs="宋体"/>
          <w:color w:val="auto"/>
          <w:sz w:val="28"/>
          <w:szCs w:val="28"/>
        </w:rPr>
        <w:t>在10个工作日内付清。</w:t>
      </w:r>
    </w:p>
    <w:p w14:paraId="33E42770">
      <w:pPr>
        <w:keepNext w:val="0"/>
        <w:keepLines w:val="0"/>
        <w:pageBreakBefore w:val="0"/>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注：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sectPr>
      <w:footerReference r:id="rId5" w:type="default"/>
      <w:pgSz w:w="11900" w:h="16840"/>
      <w:pgMar w:top="1440" w:right="1800" w:bottom="1440" w:left="1800" w:header="0" w:footer="57" w:gutter="0"/>
      <w:lnNumType w:countBy="0" w:distance="360"/>
      <w:pgNumType w:start="1"/>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0FD8B">
    <w:pPr>
      <w:spacing w:line="183" w:lineRule="auto"/>
      <w:rPr>
        <w:rFonts w:ascii="宋体" w:hAnsi="宋体" w:eastAsia="宋体" w:cs="宋体"/>
        <w:sz w:val="14"/>
        <w:szCs w:val="14"/>
      </w:rPr>
    </w:pPr>
    <w:r>
      <w:rPr>
        <w:sz w:val="14"/>
      </w:rPr>
      <mc:AlternateContent>
        <mc:Choice Requires="wps">
          <w:drawing>
            <wp:anchor distT="0" distB="0" distL="114300" distR="114300" simplePos="0" relativeHeight="251659264" behindDoc="0" locked="0" layoutInCell="1" allowOverlap="1">
              <wp:simplePos x="0" y="0"/>
              <wp:positionH relativeFrom="margin">
                <wp:posOffset>2600325</wp:posOffset>
              </wp:positionH>
              <wp:positionV relativeFrom="paragraph">
                <wp:posOffset>-768350</wp:posOffset>
              </wp:positionV>
              <wp:extent cx="177165" cy="2806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77165" cy="2806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B9820E">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4.75pt;margin-top:-60.5pt;height:22.1pt;width:13.95pt;mso-position-horizontal-relative:margin;z-index:251659264;mso-width-relative:page;mso-height-relative:page;" filled="f" stroked="f" coordsize="21600,21600" o:gfxdata="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DY4j/bAAAADAEAAA8AAAAAAAAAAQAgAAAAIgAAAGRycy9kb3du&#10;cmV2LnhtbFBLAQIUABQAAAAIAIdO4kCunN3GNQIAAGEEAAAOAAAAAAAAAAEAIAAAACoBAABkcnMv&#10;ZTJvRG9jLnhtbFBLBQYAAAAABgAGAFkBAADRBQAAAAA=&#10;">
              <v:fill on="f" focussize="0,0"/>
              <v:stroke on="f" weight="0.5pt"/>
              <v:imagedata o:title=""/>
              <o:lock v:ext="edit" aspectratio="f"/>
              <v:textbox inset="0mm,0mm,0mm,0mm">
                <w:txbxContent>
                  <w:p w14:paraId="7BB9820E">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ZmQ2MTJkN2UzYzQ1ZWFhNTliYTYyNmJiNzk5ZDEifQ=="/>
  </w:docVars>
  <w:rsids>
    <w:rsidRoot w:val="711606BD"/>
    <w:rsid w:val="01FC2C4B"/>
    <w:rsid w:val="05BB24F7"/>
    <w:rsid w:val="0B4A69A3"/>
    <w:rsid w:val="0E552DBD"/>
    <w:rsid w:val="14A625C4"/>
    <w:rsid w:val="155D7127"/>
    <w:rsid w:val="195400E3"/>
    <w:rsid w:val="1DD5361B"/>
    <w:rsid w:val="1F1D7927"/>
    <w:rsid w:val="1FCF2C69"/>
    <w:rsid w:val="20050D9F"/>
    <w:rsid w:val="29F714A0"/>
    <w:rsid w:val="2AB56C65"/>
    <w:rsid w:val="375717D0"/>
    <w:rsid w:val="4004284D"/>
    <w:rsid w:val="40D10202"/>
    <w:rsid w:val="479F646B"/>
    <w:rsid w:val="4C0B0B0C"/>
    <w:rsid w:val="4FFF007F"/>
    <w:rsid w:val="53EE096F"/>
    <w:rsid w:val="57BE5E92"/>
    <w:rsid w:val="58A36703"/>
    <w:rsid w:val="5CE82D06"/>
    <w:rsid w:val="63696814"/>
    <w:rsid w:val="670A07CE"/>
    <w:rsid w:val="68DE6E4E"/>
    <w:rsid w:val="690523F7"/>
    <w:rsid w:val="69EE5E3D"/>
    <w:rsid w:val="711606BD"/>
    <w:rsid w:val="71191239"/>
    <w:rsid w:val="746B1315"/>
    <w:rsid w:val="74890514"/>
    <w:rsid w:val="7BAF2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99"/>
    <w:pPr>
      <w:adjustRightInd/>
      <w:snapToGrid/>
      <w:spacing w:after="120" w:line="240" w:lineRule="auto"/>
      <w:ind w:left="420" w:leftChars="200"/>
    </w:pPr>
  </w:style>
  <w:style w:type="paragraph" w:styleId="3">
    <w:name w:val="Body Text Indent"/>
    <w:basedOn w:val="1"/>
    <w:next w:val="1"/>
    <w:qFormat/>
    <w:uiPriority w:val="0"/>
    <w:pPr>
      <w:adjustRightInd w:val="0"/>
      <w:snapToGrid w:val="0"/>
      <w:ind w:firstLine="420" w:firstLineChars="200"/>
    </w:pPr>
  </w:style>
  <w:style w:type="paragraph" w:styleId="4">
    <w:name w:val="toc 3"/>
    <w:basedOn w:val="1"/>
    <w:next w:val="1"/>
    <w:qFormat/>
    <w:uiPriority w:val="39"/>
    <w:pPr>
      <w:ind w:left="420"/>
      <w:jc w:val="left"/>
    </w:pPr>
    <w:rPr>
      <w:rFonts w:ascii="等线" w:eastAsia="等线"/>
      <w:i/>
      <w:iCs/>
      <w:sz w:val="20"/>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Strong"/>
    <w:basedOn w:val="8"/>
    <w:qFormat/>
    <w:uiPriority w:val="0"/>
    <w:rPr>
      <w:b/>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2604</Words>
  <Characters>2659</Characters>
  <Lines>0</Lines>
  <Paragraphs>0</Paragraphs>
  <TotalTime>1</TotalTime>
  <ScaleCrop>false</ScaleCrop>
  <LinksUpToDate>false</LinksUpToDate>
  <CharactersWithSpaces>2692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2023-02-17T07:50:00Z</dcterms:created>
  <dc:creator>ZHJH</dc:creator>
  <cp:lastModifiedBy>ZHJH</cp:lastModifiedBy>
  <cp:lastPrinted>2025-04-28T03:53:00Z</cp:lastPrinted>
  <dcterms:modified xsi:type="dcterms:W3CDTF">2025-06-24T07:16:47Z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CAD157AE6F34400F8B7AEA65DD4BCBBE_13</vt:lpwstr>
  </property>
  <property fmtid="{D5CDD505-2E9C-101B-9397-08002B2CF9AE}" pid="4" name="KSOTemplateDocerSaveRecord">
    <vt:lpwstr>eyJoZGlkIjoiOGIwZTlkYTVjNGRkMmQzMDE1YjQxNWVjZTBmYzJlNjgiLCJ1c2VySWQiOiI1NjU1MTMyMDEifQ==</vt:lpwstr>
  </property>
</Properties>
</file>